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 xml:space="preserve">Δέσμη Εγγράφων Αίτησης </w:t>
      </w:r>
      <w:r w:rsidR="00954A65">
        <w:rPr>
          <w:rFonts w:ascii="Verdana" w:eastAsia="Times New Roman" w:hAnsi="Verdana" w:cs="Arial"/>
          <w:b/>
          <w:sz w:val="24"/>
        </w:rPr>
        <w:t>Γ1</w:t>
      </w:r>
      <w:r w:rsidR="00A75DB5">
        <w:rPr>
          <w:rFonts w:ascii="Verdana" w:eastAsia="Times New Roman" w:hAnsi="Verdana" w:cs="Arial"/>
          <w:b/>
          <w:sz w:val="24"/>
        </w:rPr>
        <w:t xml:space="preserve"> - </w:t>
      </w:r>
      <w:r w:rsidR="00954A65" w:rsidRPr="00954A65">
        <w:rPr>
          <w:rFonts w:ascii="Verdana" w:eastAsia="Times New Roman" w:hAnsi="Verdana" w:cs="Arial"/>
          <w:b/>
          <w:sz w:val="24"/>
        </w:rPr>
        <w:t>Συνεδριακοί Χώροι εντός Ξενοδοχείων και τουριστικών καταλυμάτων</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954A65" w:rsidRPr="00FB0D6E" w:rsidTr="00460EC6">
        <w:tc>
          <w:tcPr>
            <w:tcW w:w="675" w:type="dxa"/>
          </w:tcPr>
          <w:p w:rsidR="00954A65" w:rsidRPr="00FB0D6E" w:rsidRDefault="00954A65" w:rsidP="00F11D33">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8</w:t>
            </w:r>
          </w:p>
        </w:tc>
        <w:tc>
          <w:tcPr>
            <w:tcW w:w="8236" w:type="dxa"/>
          </w:tcPr>
          <w:p w:rsidR="00954A65" w:rsidRDefault="00954A6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Γ1 – Συνεδριακοί Χώροι εντός Ξενοδοχείων και τουριστικών καταλυμάτων» με τα βασικά κύρια χαρακτηριστικά της Επένδυσης και της Επιχείρησης</w:t>
            </w:r>
          </w:p>
          <w:p w:rsidR="00954A65" w:rsidRPr="00FB0D6E" w:rsidRDefault="00954A65" w:rsidP="00F11D33">
            <w:pPr>
              <w:spacing w:after="0" w:line="240" w:lineRule="auto"/>
              <w:rPr>
                <w:rFonts w:ascii="Verdana" w:eastAsia="Times New Roman" w:hAnsi="Verdana" w:cs="Arial"/>
                <w:sz w:val="20"/>
                <w:szCs w:val="20"/>
              </w:rPr>
            </w:pPr>
          </w:p>
        </w:tc>
        <w:tc>
          <w:tcPr>
            <w:tcW w:w="1154" w:type="dxa"/>
          </w:tcPr>
          <w:p w:rsidR="00954A65" w:rsidRPr="00FB0D6E" w:rsidRDefault="00954A65" w:rsidP="00F11D33">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8</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987211">
            <w:pPr>
              <w:spacing w:after="0" w:line="240" w:lineRule="auto"/>
              <w:ind w:left="720"/>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963822" w:rsidRDefault="00963822" w:rsidP="00963822">
            <w:pPr>
              <w:spacing w:after="0" w:line="240" w:lineRule="auto"/>
              <w:rPr>
                <w:rFonts w:ascii="Verdana" w:eastAsia="Times New Roman" w:hAnsi="Verdana" w:cs="Arial"/>
                <w:sz w:val="20"/>
                <w:szCs w:val="20"/>
              </w:rPr>
            </w:pPr>
          </w:p>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963822" w:rsidRPr="00FB0D6E" w:rsidRDefault="00963822" w:rsidP="00963822">
            <w:pPr>
              <w:spacing w:after="0" w:line="240" w:lineRule="auto"/>
              <w:rPr>
                <w:rFonts w:ascii="Verdana" w:eastAsia="Times New Roman" w:hAnsi="Verdana" w:cs="Arial"/>
                <w:sz w:val="20"/>
                <w:szCs w:val="20"/>
              </w:rPr>
            </w:pP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987211"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16224C" w:rsidRPr="00987211"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987211" w:rsidRDefault="00295B09" w:rsidP="00FB3EC0">
            <w:pPr>
              <w:spacing w:after="0" w:line="240" w:lineRule="auto"/>
              <w:rPr>
                <w:rFonts w:ascii="Verdana" w:eastAsia="Times New Roman" w:hAnsi="Verdana" w:cs="Arial"/>
                <w:sz w:val="20"/>
                <w:szCs w:val="20"/>
                <w:lang w:val="en-GB"/>
              </w:rPr>
            </w:pPr>
            <w:r w:rsidRPr="00FB0D6E">
              <w:rPr>
                <w:rFonts w:ascii="Verdana" w:eastAsia="Times New Roman" w:hAnsi="Verdana" w:cs="Arial"/>
                <w:sz w:val="20"/>
                <w:szCs w:val="20"/>
              </w:rPr>
              <w:t>Αποδεκτά θα γίνονται:</w:t>
            </w:r>
          </w:p>
          <w:p w:rsidR="00987211" w:rsidRDefault="00987211" w:rsidP="00FB3EC0">
            <w:pPr>
              <w:spacing w:after="0" w:line="240" w:lineRule="auto"/>
              <w:rPr>
                <w:rFonts w:ascii="Verdana" w:eastAsia="Times New Roman" w:hAnsi="Verdana" w:cs="Arial"/>
                <w:sz w:val="20"/>
                <w:szCs w:val="20"/>
                <w:lang w:val="en-GB"/>
              </w:rPr>
            </w:pPr>
          </w:p>
          <w:p w:rsidR="00295B09" w:rsidRPr="00FB0D6E" w:rsidRDefault="00295B09" w:rsidP="00FB3EC0">
            <w:pPr>
              <w:spacing w:after="0" w:line="240" w:lineRule="auto"/>
              <w:rPr>
                <w:rFonts w:ascii="Verdana" w:eastAsia="Times New Roman" w:hAnsi="Verdana" w:cs="Arial"/>
                <w:sz w:val="20"/>
                <w:szCs w:val="20"/>
              </w:rPr>
            </w:pPr>
            <w:bookmarkStart w:id="0" w:name="_GoBack"/>
            <w:bookmarkEnd w:id="0"/>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954A65" w:rsidRPr="00FB0D6E" w:rsidTr="00460EC6">
        <w:tc>
          <w:tcPr>
            <w:tcW w:w="675"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51</w:t>
            </w:r>
          </w:p>
        </w:tc>
        <w:tc>
          <w:tcPr>
            <w:tcW w:w="8236" w:type="dxa"/>
            <w:tcBorders>
              <w:top w:val="single" w:sz="4" w:space="0" w:color="auto"/>
              <w:left w:val="single" w:sz="4" w:space="0" w:color="auto"/>
              <w:bottom w:val="single" w:sz="4" w:space="0" w:color="auto"/>
              <w:right w:val="single" w:sz="4" w:space="0" w:color="auto"/>
            </w:tcBorders>
          </w:tcPr>
          <w:p w:rsidR="00954A65" w:rsidRDefault="00954A6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p w:rsidR="00954A65" w:rsidRPr="00FB0D6E" w:rsidRDefault="00954A65"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51</w:t>
            </w:r>
          </w:p>
        </w:tc>
      </w:tr>
      <w:tr w:rsidR="00987211" w:rsidRPr="00FB0D6E" w:rsidTr="00460EC6">
        <w:tc>
          <w:tcPr>
            <w:tcW w:w="675" w:type="dxa"/>
            <w:tcBorders>
              <w:top w:val="single" w:sz="4" w:space="0" w:color="auto"/>
              <w:left w:val="single" w:sz="4" w:space="0" w:color="auto"/>
              <w:bottom w:val="single" w:sz="4" w:space="0" w:color="auto"/>
              <w:right w:val="single" w:sz="4" w:space="0" w:color="auto"/>
            </w:tcBorders>
          </w:tcPr>
          <w:p w:rsidR="00987211" w:rsidRPr="00987211" w:rsidRDefault="00987211" w:rsidP="00F11D33">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t>53</w:t>
            </w:r>
          </w:p>
        </w:tc>
        <w:tc>
          <w:tcPr>
            <w:tcW w:w="8236" w:type="dxa"/>
            <w:tcBorders>
              <w:top w:val="single" w:sz="4" w:space="0" w:color="auto"/>
              <w:left w:val="single" w:sz="4" w:space="0" w:color="auto"/>
              <w:bottom w:val="single" w:sz="4" w:space="0" w:color="auto"/>
              <w:right w:val="single" w:sz="4" w:space="0" w:color="auto"/>
            </w:tcBorders>
          </w:tcPr>
          <w:p w:rsidR="00987211" w:rsidRPr="002B71DA" w:rsidRDefault="00987211" w:rsidP="0098721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987211" w:rsidRPr="002B71DA" w:rsidRDefault="00987211" w:rsidP="0098721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987211" w:rsidRPr="002B71DA" w:rsidRDefault="00987211" w:rsidP="00987211">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987211" w:rsidRPr="00726EF1" w:rsidRDefault="00987211" w:rsidP="00987211">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w:t>
            </w:r>
            <w:r w:rsidRPr="002B71DA">
              <w:rPr>
                <w:rFonts w:ascii="Verdana" w:eastAsia="Times New Roman" w:hAnsi="Verdana" w:cs="Arial"/>
                <w:bCs/>
                <w:sz w:val="20"/>
                <w:szCs w:val="20"/>
              </w:rPr>
              <w:lastRenderedPageBreak/>
              <w:t xml:space="preserve">περιβαλλοντικές νομοθεσίες»                                                                                                                                                                                                                                                                                                                                                                                                                                                                                                                                                                                                                             </w:t>
            </w:r>
            <w:r>
              <w:rPr>
                <w:rFonts w:ascii="Verdana" w:eastAsia="Times New Roman" w:hAnsi="Verdana" w:cs="Arial"/>
                <w:bCs/>
                <w:sz w:val="20"/>
                <w:szCs w:val="20"/>
              </w:rPr>
              <w:t xml:space="preserve">                        </w:t>
            </w:r>
          </w:p>
          <w:p w:rsidR="00987211" w:rsidRPr="00726EF1" w:rsidRDefault="00987211" w:rsidP="0098721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987211" w:rsidRPr="00FB0D6E" w:rsidRDefault="00987211"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987211" w:rsidRPr="00987211" w:rsidRDefault="00987211" w:rsidP="00F11D33">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r>
      <w:tr w:rsidR="00963822"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Default="00963822"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lastRenderedPageBreak/>
              <w:t xml:space="preserve">Άλλα </w:t>
            </w:r>
            <w:r w:rsidRPr="003D0C4C">
              <w:rPr>
                <w:rFonts w:ascii="Verdana" w:eastAsia="Times New Roman" w:hAnsi="Verdana" w:cs="Arial"/>
                <w:b/>
                <w:sz w:val="20"/>
                <w:szCs w:val="20"/>
              </w:rPr>
              <w:t>Δικαιολογητικά Έγγραφα</w:t>
            </w:r>
          </w:p>
          <w:p w:rsidR="00963822" w:rsidRPr="003D0C4C" w:rsidRDefault="00963822" w:rsidP="00295B09">
            <w:pPr>
              <w:spacing w:after="0" w:line="240" w:lineRule="auto"/>
              <w:rPr>
                <w:rFonts w:ascii="Verdana" w:eastAsia="Times New Roman" w:hAnsi="Verdana" w:cs="Arial"/>
                <w:sz w:val="20"/>
                <w:szCs w:val="20"/>
                <w:lang w:val="en-US"/>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963822" w:rsidRPr="00FB0D6E" w:rsidRDefault="00963822"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963822" w:rsidRPr="00FB0D6E" w:rsidRDefault="00963822"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16224C">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16224C"/>
    <w:rsid w:val="00251085"/>
    <w:rsid w:val="00295B09"/>
    <w:rsid w:val="003D0C4C"/>
    <w:rsid w:val="00460EC6"/>
    <w:rsid w:val="00484094"/>
    <w:rsid w:val="00490DA2"/>
    <w:rsid w:val="007D728F"/>
    <w:rsid w:val="00880A85"/>
    <w:rsid w:val="00954A65"/>
    <w:rsid w:val="00963822"/>
    <w:rsid w:val="00987211"/>
    <w:rsid w:val="00A75DB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2017-05-19T09:26:00Z</dcterms:created>
  <dcterms:modified xsi:type="dcterms:W3CDTF">2017-08-02T07:59:00Z</dcterms:modified>
</cp:coreProperties>
</file>